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4</w:t>
      </w: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pBdr/>
        <w:spacing/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2022-2026 роки (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/>
          <w:sz w:val="24"/>
          <w:szCs w:val="24"/>
          <w:lang w:val="uk-UA"/>
        </w:rPr>
        <w:t xml:space="preserve">редакції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Чернігівської обласної військової адміністрації від ________ № 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використання коштів обласного бюджету на виплату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одноразової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адресн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при утворенні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впродовж 2026 року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прийомної сім’ї, дитячого будинку сімейного типу на території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Чернігівської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області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використання коштів обласного бюджету на виплату одноразової адресної грошової допомог при утворенні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впродовж 2026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прийомної сім’ї, дитячого будинку сімейного типу на території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(далі - Порядок) розроблений відповідно до ст. 91 Бюджетного кодексу України, ст. 23 Закону України «Про місцеві державні адміністрації»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заходу 4 завдання 12 Операційного плану заходів </w:t>
      </w:r>
      <w:r>
        <w:rPr>
          <w:rFonts w:ascii="Times New Roman" w:hAnsi="Times New Roman"/>
          <w:bCs/>
          <w:sz w:val="28"/>
          <w:szCs w:val="28"/>
          <w:lang w:val="en-AU"/>
        </w:rPr>
        <w:t xml:space="preserve">на 2024-2026 роки з реалізації Стратегії забезпечення права кожної дитини в Україні на зростання в сімейному оточенні на 2024-2028 роки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затвердженого розпорядженням Кабінету Міністрів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від 26.11.2024 № 1201-р.</w:t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визначає механізм надання одноразової адресної грошової допомоги при утворенні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впродовж 2026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прийомної сім’ї, дитячого будинку сімейного типу на території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далі – одноразова допомога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цього Порядку здійснює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бласного центру по нарахуванню та здійсненню соціальних виплат для виплати одноразової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Чернігівський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бласний центр по нарахуванню та здійсненню соціальних виплат: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забезпечує оформлення виплатних документів;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 перерахування коштів на поточний рахунок в Уповноваженому банку. Уповноваженими банками є банки, визначені переможцями конкурсу на право виплати пенсій, грошової допомоги та заробітної плати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бюджетних установ, через поточні рахунки відповідно до Порядку проведення конкурсного відбору банків, через які здійснюється виплата пенсій, грошової допомоги та заробітної плати працівникам бюджетних установ, затвердженого постановою Кабінету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Міністрів України від 26 вересня 2001 року № 1231 (зі змінами) (далі – Уповноважений банк).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Складання та подання фінансової звітності про використання бюджетних коштів здійснюється в установленому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Одноразова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допомога надається у межах асигнувань, передбачених в обласному бюджеті на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2026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2022-2026 роки, затвердженої рішенням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шостої сесії восьмого скликання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Чернігівської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обласної ради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22.10.2021 № 3-6/VIIІ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(зі змінами)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(далі - Програма)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розгляду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надання одноразової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2026 року до 01.12.2026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включно,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подружжям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визначенням отримувача одноразової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окремою особою, яка не перебуває у шлюбі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числа прийомних батьків, батьків-вихователів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письмової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служби у справах дітей міської, селищної, сільської ради (військової адміністрації населеного пункту)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місцем створення у 2026 році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прийомної сім’ї, дитячого будинку сімейного типу на території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служба у справах дітей за місцем створення) разом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засвідчен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чинним законодавством порядку копі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паспорта громадянина України (всіх заповнених сторінок) – отримувача адресної допомоги (при наданні копії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паспорта громадянина України у формі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ID-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картки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(лицьової та зворотної сторін);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довідки про присвоєння реєстраційного номера облікової картки платника податків отримувача адресної допомоги або, якщо особа через свої релігійні переконання відмовилася від прийняття реє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страційного номера облікової картки платника податків та повідомила про це відповідний контролюючий орган, копії сторінки паспорта, де є відмітка про наявність у неї права здійснювати будь-які платежі за серією та номером паспорта. У разі якщо заявник має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паспорт громадянина України у формі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ID-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картки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копія довідки про присвоєння реєстраційного номера облікової картки платника податків не надається;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міської, селищної, сільської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(військової адміністрації населеного пункту)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прийомної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дитячого будинку сімейного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впродовж 2026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договору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Style w:val="643"/>
          <w:rFonts w:ascii="Times New Roman" w:hAnsi="Times New Roman" w:cs="Times New Roman"/>
          <w:b w:val="0"/>
          <w:bCs w:val="0"/>
          <w:lang w:val="uk-UA"/>
        </w:rPr>
        <w:t xml:space="preserve">про влаштування дітей на виховання та спільне проживання у прийомн</w:t>
      </w:r>
      <w:r>
        <w:rPr>
          <w:rStyle w:val="643"/>
          <w:rFonts w:ascii="Times New Roman" w:hAnsi="Times New Roman" w:cs="Times New Roman"/>
          <w:b w:val="0"/>
          <w:bCs w:val="0"/>
          <w:lang w:val="uk-UA"/>
        </w:rPr>
        <w:t xml:space="preserve">у</w:t>
      </w:r>
      <w:r>
        <w:rPr>
          <w:rStyle w:val="643"/>
          <w:rFonts w:ascii="Times New Roman" w:hAnsi="Times New Roman" w:cs="Times New Roman"/>
          <w:b w:val="0"/>
          <w:bCs w:val="0"/>
          <w:lang w:val="uk-UA"/>
        </w:rPr>
        <w:t xml:space="preserve"> сім'</w:t>
      </w:r>
      <w:r>
        <w:rPr>
          <w:rStyle w:val="643"/>
          <w:rFonts w:ascii="Times New Roman" w:hAnsi="Times New Roman" w:cs="Times New Roman"/>
          <w:b w:val="0"/>
          <w:bCs w:val="0"/>
          <w:lang w:val="uk-UA"/>
        </w:rPr>
        <w:t xml:space="preserve">ю</w:t>
      </w:r>
      <w:r>
        <w:rPr>
          <w:rStyle w:val="643"/>
          <w:rFonts w:ascii="Times New Roman" w:hAnsi="Times New Roman" w:cs="Times New Roman"/>
          <w:b w:val="0"/>
          <w:bCs w:val="0"/>
          <w:lang w:val="uk-UA"/>
        </w:rPr>
        <w:t xml:space="preserve"> або договору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організацію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дитячого будинку сімейного типу;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довідки з реквізитами особового рахунку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отримувача адресної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відкритого у банківській установі.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служби у справах дітей за місцем створення,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подружжям або окремою особою, яка не перебуває у шлюбі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числа прийомних батьків, батьків-вихователів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заява про згоду на збір та обробку персональних даних.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1.8 Одноразова допомога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на основі прийомної сім’ї дитячого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сімейного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разі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дитячого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сімейного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статус прийомної сім’ї одноразова допомога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виплачується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розгляду заяви та документів визначених у п. 1.6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- документи)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служба у справах дітей за місцем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5 робочих днів з дати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отримання готує та направляє до Служби у справах дітей Чернігівської обласної державної адміністрації клопотання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надання одноразової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прийомним батькам, батькам-вихователям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(далі - клопотання)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документами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Служба у справах дітей Чернігівської обласної державної адміністрації протягом 5 робочих днів з дати отримання розглядає клопотання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документи та спрямовує їх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Виплата одноразової допомоги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Чернігівським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бласн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нарахуванню та здійсненню соціальних виплат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Службою у справах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 Департамент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адміністрації, за рахунок коштів обласного бюджету виходячи з можливостей обласного бюджету в розмірі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0 000 грн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Кошторису витрат на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на 2026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Одноразова допомога перераховується на поточний рахунок Уповноваженого банку.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before="12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Служби у справах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 Чернігівської обласної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Людмила ЗЕЛЕНЬКО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75" w:left="375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75" w:left="1095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75" w:left="375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75" w:left="1095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7"/>
    <w:next w:val="6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7"/>
    <w:next w:val="6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7"/>
    <w:next w:val="6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7"/>
    <w:next w:val="6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7"/>
    <w:next w:val="6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7"/>
    <w:next w:val="6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7"/>
    <w:next w:val="6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7"/>
    <w:next w:val="6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7"/>
    <w:next w:val="6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7"/>
    <w:next w:val="6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7"/>
    <w:next w:val="6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7"/>
    <w:next w:val="6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7"/>
    <w:next w:val="6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8"/>
    <w:link w:val="175"/>
    <w:uiPriority w:val="99"/>
    <w:pPr>
      <w:pBdr/>
      <w:spacing/>
      <w:ind/>
    </w:pPr>
  </w:style>
  <w:style w:type="paragraph" w:styleId="177">
    <w:name w:val="Footer"/>
    <w:basedOn w:val="6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8"/>
    <w:link w:val="177"/>
    <w:uiPriority w:val="99"/>
    <w:pPr>
      <w:pBdr/>
      <w:spacing/>
      <w:ind/>
    </w:pPr>
  </w:style>
  <w:style w:type="paragraph" w:styleId="179">
    <w:name w:val="Caption"/>
    <w:basedOn w:val="637"/>
    <w:next w:val="6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7"/>
    <w:next w:val="637"/>
    <w:uiPriority w:val="99"/>
    <w:unhideWhenUsed/>
    <w:pPr>
      <w:pBdr/>
      <w:spacing w:after="0" w:afterAutospacing="0"/>
      <w:ind/>
    </w:pPr>
  </w:style>
  <w:style w:type="paragraph" w:styleId="637" w:default="1">
    <w:name w:val="Normal"/>
    <w:qFormat/>
    <w:pPr>
      <w:pBdr/>
      <w:spacing/>
      <w:ind/>
    </w:pPr>
  </w:style>
  <w:style w:type="character" w:styleId="638" w:default="1">
    <w:name w:val="Default Paragraph Font"/>
    <w:uiPriority w:val="1"/>
    <w:semiHidden/>
    <w:unhideWhenUsed/>
    <w:pPr>
      <w:pBdr/>
      <w:spacing/>
      <w:ind/>
    </w:pPr>
  </w:style>
  <w:style w:type="table" w:styleId="6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0" w:default="1">
    <w:name w:val="No List"/>
    <w:uiPriority w:val="99"/>
    <w:semiHidden/>
    <w:unhideWhenUsed/>
    <w:pPr>
      <w:pBdr/>
      <w:spacing/>
      <w:ind/>
    </w:pPr>
  </w:style>
  <w:style w:type="paragraph" w:styleId="641">
    <w:name w:val="List Paragraph"/>
    <w:basedOn w:val="637"/>
    <w:uiPriority w:val="34"/>
    <w:qFormat/>
    <w:pPr>
      <w:pBdr/>
      <w:spacing/>
      <w:ind w:left="720"/>
      <w:contextualSpacing w:val="true"/>
    </w:pPr>
  </w:style>
  <w:style w:type="paragraph" w:styleId="642" w:customStyle="1">
    <w:name w:val="st6"/>
    <w:uiPriority w:val="99"/>
    <w:pPr>
      <w:pBdr/>
      <w:spacing w:after="450" w:before="300" w:line="240" w:lineRule="auto"/>
      <w:ind w:right="450" w:left="450"/>
      <w:jc w:val="center"/>
    </w:pPr>
    <w:rPr>
      <w:rFonts w:ascii="Times New Roman" w:hAnsi="Times New Roman" w:cs="Times New Roman"/>
      <w:color w:val="1d1d1b"/>
      <w:sz w:val="24"/>
      <w:szCs w:val="24"/>
    </w:rPr>
  </w:style>
  <w:style w:type="character" w:styleId="643" w:customStyle="1">
    <w:name w:val="st161"/>
    <w:uiPriority w:val="99"/>
    <w:pPr>
      <w:pBdr/>
      <w:spacing/>
      <w:ind/>
    </w:pPr>
    <w:rPr>
      <w:b/>
      <w:bCs/>
      <w:color w:val="000000"/>
      <w:sz w:val="28"/>
      <w:szCs w:val="28"/>
    </w:rPr>
  </w:style>
  <w:style w:type="paragraph" w:styleId="644" w:customStyle="1">
    <w:name w:val="rvps2"/>
    <w:basedOn w:val="63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645">
    <w:name w:val="Hyperlink"/>
    <w:basedOn w:val="638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646" w:customStyle="1">
    <w:name w:val="rvts46"/>
    <w:basedOn w:val="6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306-1</dc:creator>
  <cp:keywords/>
  <dc:description/>
  <cp:lastModifiedBy>Anonymous</cp:lastModifiedBy>
  <cp:revision>52</cp:revision>
  <dcterms:created xsi:type="dcterms:W3CDTF">2025-12-17T14:38:00Z</dcterms:created>
  <dcterms:modified xsi:type="dcterms:W3CDTF">2026-01-15T08:21:25Z</dcterms:modified>
</cp:coreProperties>
</file>